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01" w:rsidRPr="00BD0A01" w:rsidRDefault="00BD0A01" w:rsidP="00BD0A01">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BD0A01">
        <w:rPr>
          <w:rFonts w:ascii="Times New Roman" w:eastAsia="Times New Roman" w:hAnsi="Times New Roman" w:cs="Times New Roman"/>
          <w:b/>
          <w:bCs/>
          <w:sz w:val="24"/>
          <w:szCs w:val="24"/>
          <w:lang w:eastAsia="ru-RU"/>
        </w:rPr>
        <w:t> ​Профилактика терроризма и экстремизма в молодежной среде</w:t>
      </w:r>
    </w:p>
    <w:p w:rsidR="00BD0A01" w:rsidRPr="00BD0A01" w:rsidRDefault="00BD0A01" w:rsidP="00BD0A01">
      <w:pPr>
        <w:shd w:val="clear" w:color="auto" w:fill="FFFFFF"/>
        <w:spacing w:after="0" w:line="240" w:lineRule="auto"/>
        <w:ind w:firstLine="567"/>
        <w:contextualSpacing/>
        <w:jc w:val="center"/>
        <w:rPr>
          <w:rFonts w:ascii="Times New Roman" w:eastAsia="Times New Roman" w:hAnsi="Times New Roman" w:cs="Times New Roman"/>
          <w:sz w:val="24"/>
          <w:szCs w:val="24"/>
          <w:lang w:eastAsia="ru-RU"/>
        </w:rPr>
      </w:pPr>
    </w:p>
    <w:p w:rsidR="00BD0A01" w:rsidRPr="00BD0A01" w:rsidRDefault="00BD0A01" w:rsidP="00BD0A01">
      <w:pPr>
        <w:shd w:val="clear" w:color="auto" w:fill="FFFFFF"/>
        <w:spacing w:after="0" w:line="240" w:lineRule="auto"/>
        <w:ind w:firstLine="567"/>
        <w:contextualSpacing/>
        <w:jc w:val="center"/>
        <w:rPr>
          <w:rFonts w:ascii="Times New Roman" w:eastAsia="Times New Roman" w:hAnsi="Times New Roman" w:cs="Times New Roman"/>
          <w:sz w:val="24"/>
          <w:szCs w:val="24"/>
          <w:lang w:eastAsia="ru-RU"/>
        </w:rPr>
      </w:pPr>
      <w:r w:rsidRPr="00BD0A01">
        <w:rPr>
          <w:rFonts w:ascii="Times New Roman" w:eastAsia="Times New Roman" w:hAnsi="Times New Roman" w:cs="Times New Roman"/>
          <w:b/>
          <w:bCs/>
          <w:sz w:val="24"/>
          <w:szCs w:val="24"/>
          <w:lang w:eastAsia="ru-RU"/>
        </w:rPr>
        <w:t>Понятие  «экстремизм»</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sz w:val="24"/>
          <w:szCs w:val="24"/>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i/>
          <w:iCs/>
          <w:sz w:val="24"/>
          <w:szCs w:val="24"/>
          <w:lang w:eastAsia="ru-RU"/>
        </w:rPr>
        <w:t>Экстремизм </w:t>
      </w:r>
      <w:r w:rsidRPr="00BD0A01">
        <w:rPr>
          <w:rFonts w:ascii="Times New Roman" w:eastAsia="Times New Roman" w:hAnsi="Times New Roman" w:cs="Times New Roman"/>
          <w:sz w:val="24"/>
          <w:szCs w:val="24"/>
          <w:lang w:eastAsia="ru-RU"/>
        </w:rPr>
        <w:t xml:space="preserve">(от фр. </w:t>
      </w:r>
      <w:proofErr w:type="spellStart"/>
      <w:r w:rsidRPr="00BD0A01">
        <w:rPr>
          <w:rFonts w:ascii="Times New Roman" w:eastAsia="Times New Roman" w:hAnsi="Times New Roman" w:cs="Times New Roman"/>
          <w:sz w:val="24"/>
          <w:szCs w:val="24"/>
          <w:lang w:eastAsia="ru-RU"/>
        </w:rPr>
        <w:t>exremisme</w:t>
      </w:r>
      <w:proofErr w:type="spellEnd"/>
      <w:r w:rsidRPr="00BD0A01">
        <w:rPr>
          <w:rFonts w:ascii="Times New Roman" w:eastAsia="Times New Roman" w:hAnsi="Times New Roman" w:cs="Times New Roman"/>
          <w:sz w:val="24"/>
          <w:szCs w:val="24"/>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sz w:val="24"/>
          <w:szCs w:val="24"/>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BD0A01">
        <w:rPr>
          <w:rFonts w:ascii="Times New Roman" w:eastAsia="Times New Roman" w:hAnsi="Times New Roman" w:cs="Times New Roman"/>
          <w:sz w:val="24"/>
          <w:szCs w:val="24"/>
          <w:lang w:eastAsia="ru-RU"/>
        </w:rPr>
        <w:t>обычных</w:t>
      </w:r>
      <w:proofErr w:type="gramEnd"/>
      <w:r w:rsidRPr="00BD0A01">
        <w:rPr>
          <w:rFonts w:ascii="Times New Roman" w:eastAsia="Times New Roman" w:hAnsi="Times New Roman" w:cs="Times New Roman"/>
          <w:sz w:val="24"/>
          <w:szCs w:val="24"/>
          <w:lang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насильственное изменение основ конституционного строя и нарушение целостности Российской Федерации;</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публичное оправдание терроризма и иная террористическая деятельность;</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возбуждение социальной, расовой, национальной или религиозной розни;</w:t>
      </w:r>
      <w:bookmarkStart w:id="0" w:name="1014"/>
      <w:bookmarkEnd w:id="0"/>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BD0A01">
        <w:t>сходных</w:t>
      </w:r>
      <w:proofErr w:type="gramEnd"/>
      <w:r w:rsidRPr="00BD0A01">
        <w:t xml:space="preserve"> с нацистской атрибутикой или символикой до степени смешения;</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1" w:name="10111"/>
      <w:bookmarkEnd w:id="1"/>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организация и подготовка указанных деяний, а также подстрекательство к их осуществлению;</w:t>
      </w:r>
    </w:p>
    <w:p w:rsidR="00BD0A01" w:rsidRPr="00BD0A01" w:rsidRDefault="00BD0A01" w:rsidP="00BD0A01">
      <w:pPr>
        <w:pStyle w:val="a5"/>
        <w:numPr>
          <w:ilvl w:val="0"/>
          <w:numId w:val="1"/>
        </w:numPr>
        <w:shd w:val="clear" w:color="auto" w:fill="FFFFFF"/>
        <w:tabs>
          <w:tab w:val="left" w:pos="851"/>
        </w:tabs>
        <w:spacing w:before="0" w:beforeAutospacing="0" w:after="0" w:afterAutospacing="0"/>
        <w:ind w:left="0" w:firstLine="567"/>
        <w:contextualSpacing/>
        <w:jc w:val="both"/>
      </w:pPr>
      <w:r w:rsidRPr="00BD0A01">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bookmarkStart w:id="2" w:name="103"/>
      <w:bookmarkStart w:id="3" w:name="102"/>
      <w:bookmarkEnd w:id="2"/>
      <w:bookmarkEnd w:id="3"/>
      <w:r w:rsidRPr="00BD0A01">
        <w:rPr>
          <w:rFonts w:ascii="Times New Roman" w:eastAsia="Times New Roman" w:hAnsi="Times New Roman" w:cs="Times New Roman"/>
          <w:sz w:val="24"/>
          <w:szCs w:val="24"/>
          <w:lang w:eastAsia="ru-RU"/>
        </w:rPr>
        <w:t>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w:t>
      </w:r>
    </w:p>
    <w:p w:rsidR="00BD0A01" w:rsidRPr="00BD0A01" w:rsidRDefault="00BD0A01" w:rsidP="00BD0A0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BD0A01" w:rsidRDefault="00BD0A01" w:rsidP="00BD0A01">
      <w:pPr>
        <w:pStyle w:val="a4"/>
        <w:shd w:val="clear" w:color="auto" w:fill="FFFFFF"/>
        <w:spacing w:before="0" w:beforeAutospacing="0" w:after="0" w:afterAutospacing="0"/>
        <w:ind w:firstLine="567"/>
        <w:contextualSpacing/>
        <w:jc w:val="center"/>
        <w:rPr>
          <w:b/>
          <w:bCs/>
        </w:rPr>
      </w:pPr>
      <w:bookmarkStart w:id="4" w:name="_Toc293687639"/>
    </w:p>
    <w:p w:rsidR="00BD0A01" w:rsidRPr="00BD0A01" w:rsidRDefault="00BD0A01" w:rsidP="00BD0A01">
      <w:pPr>
        <w:pStyle w:val="a4"/>
        <w:shd w:val="clear" w:color="auto" w:fill="FFFFFF"/>
        <w:spacing w:before="0" w:beforeAutospacing="0" w:after="0" w:afterAutospacing="0"/>
        <w:ind w:firstLine="567"/>
        <w:contextualSpacing/>
        <w:jc w:val="center"/>
      </w:pPr>
      <w:r w:rsidRPr="00BD0A01">
        <w:rPr>
          <w:b/>
          <w:bCs/>
        </w:rPr>
        <w:t>Социальный портрет экстремистов как социальной группы</w:t>
      </w:r>
      <w:bookmarkEnd w:id="4"/>
    </w:p>
    <w:p w:rsidR="00BD0A01" w:rsidRPr="00BD0A01" w:rsidRDefault="00BD0A01" w:rsidP="00BD0A01">
      <w:pPr>
        <w:pStyle w:val="a4"/>
        <w:shd w:val="clear" w:color="auto" w:fill="FFFFFF"/>
        <w:spacing w:before="0" w:beforeAutospacing="0" w:after="0" w:afterAutospacing="0"/>
        <w:ind w:firstLine="567"/>
        <w:contextualSpacing/>
        <w:jc w:val="center"/>
      </w:pPr>
      <w:r w:rsidRPr="00BD0A01">
        <w:t> </w:t>
      </w:r>
    </w:p>
    <w:p w:rsidR="00BD0A01" w:rsidRPr="00BD0A01" w:rsidRDefault="00BD0A01" w:rsidP="00BD0A01">
      <w:pPr>
        <w:pStyle w:val="a4"/>
        <w:shd w:val="clear" w:color="auto" w:fill="FFFFFF"/>
        <w:spacing w:before="0" w:beforeAutospacing="0" w:after="0" w:afterAutospacing="0"/>
        <w:ind w:firstLine="567"/>
        <w:contextualSpacing/>
        <w:jc w:val="both"/>
      </w:pPr>
      <w:r w:rsidRPr="00BD0A01">
        <w:t>Профилактическую деятельность по предотвращению появления экстремистских настроений можно классифицировать на два типа:</w:t>
      </w:r>
    </w:p>
    <w:p w:rsidR="00BD0A01" w:rsidRDefault="00BD0A01" w:rsidP="00BD0A01">
      <w:pPr>
        <w:pStyle w:val="a4"/>
        <w:numPr>
          <w:ilvl w:val="0"/>
          <w:numId w:val="2"/>
        </w:numPr>
        <w:shd w:val="clear" w:color="auto" w:fill="FFFFFF"/>
        <w:tabs>
          <w:tab w:val="left" w:pos="851"/>
        </w:tabs>
        <w:spacing w:before="0" w:beforeAutospacing="0" w:after="0" w:afterAutospacing="0"/>
        <w:ind w:left="0" w:firstLine="567"/>
        <w:contextualSpacing/>
        <w:jc w:val="both"/>
      </w:pPr>
      <w:r w:rsidRPr="00BD0A01">
        <w:t>работа с подростками и молодежью, у которых еще не появились экстремистские наклонности;</w:t>
      </w:r>
    </w:p>
    <w:p w:rsidR="00BD0A01" w:rsidRPr="00BD0A01" w:rsidRDefault="00BD0A01" w:rsidP="00BD0A01">
      <w:pPr>
        <w:pStyle w:val="a4"/>
        <w:numPr>
          <w:ilvl w:val="0"/>
          <w:numId w:val="2"/>
        </w:numPr>
        <w:shd w:val="clear" w:color="auto" w:fill="FFFFFF"/>
        <w:tabs>
          <w:tab w:val="left" w:pos="851"/>
        </w:tabs>
        <w:spacing w:before="0" w:beforeAutospacing="0" w:after="0" w:afterAutospacing="0"/>
        <w:ind w:left="0" w:firstLine="567"/>
        <w:contextualSpacing/>
        <w:jc w:val="both"/>
      </w:pPr>
      <w:r w:rsidRPr="00BD0A01">
        <w:t>работа с подростками и молодежью, у которых уже сформировалось экстремистское мировоззрение.</w:t>
      </w:r>
    </w:p>
    <w:p w:rsidR="00BD0A01" w:rsidRPr="00BD0A01" w:rsidRDefault="00BD0A01" w:rsidP="00BD0A01">
      <w:pPr>
        <w:pStyle w:val="a4"/>
        <w:shd w:val="clear" w:color="auto" w:fill="FFFFFF"/>
        <w:spacing w:before="0" w:beforeAutospacing="0" w:after="0" w:afterAutospacing="0"/>
        <w:ind w:firstLine="567"/>
        <w:contextualSpacing/>
        <w:jc w:val="both"/>
      </w:pPr>
      <w:r w:rsidRPr="00BD0A01">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BD0A01" w:rsidRPr="00BD0A01" w:rsidRDefault="00BD0A01" w:rsidP="00BD0A01">
      <w:pPr>
        <w:pStyle w:val="a4"/>
        <w:shd w:val="clear" w:color="auto" w:fill="FFFFFF"/>
        <w:spacing w:before="0" w:beforeAutospacing="0" w:after="0" w:afterAutospacing="0"/>
        <w:ind w:firstLine="567"/>
        <w:contextualSpacing/>
        <w:jc w:val="both"/>
      </w:pPr>
      <w:r w:rsidRPr="00BD0A01">
        <w:t>Рассмотрим подростков, у которых уже сформировалось экстремистские взгляды, как клиентов социальной работы.</w:t>
      </w:r>
    </w:p>
    <w:p w:rsidR="00BD0A01" w:rsidRPr="00BD0A01" w:rsidRDefault="00BD0A01" w:rsidP="00BD0A01">
      <w:pPr>
        <w:pStyle w:val="a4"/>
        <w:shd w:val="clear" w:color="auto" w:fill="FFFFFF"/>
        <w:spacing w:before="0" w:beforeAutospacing="0" w:after="0" w:afterAutospacing="0"/>
        <w:ind w:firstLine="567"/>
        <w:contextualSpacing/>
        <w:jc w:val="both"/>
      </w:pPr>
      <w:r w:rsidRPr="00BD0A01">
        <w:t xml:space="preserve">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w:t>
      </w:r>
      <w:r w:rsidRPr="00BD0A01">
        <w:lastRenderedPageBreak/>
        <w:t>организация работы таким образом, чтобы снизить опасность от непредсказуемого поведения.</w:t>
      </w:r>
    </w:p>
    <w:p w:rsidR="00BD0A01" w:rsidRPr="00BD0A01" w:rsidRDefault="00BD0A01" w:rsidP="00BD0A01">
      <w:pPr>
        <w:shd w:val="clear" w:color="auto" w:fill="FFFFFF"/>
        <w:spacing w:after="0" w:line="240" w:lineRule="auto"/>
        <w:ind w:left="993" w:hanging="426"/>
        <w:contextualSpacing/>
        <w:jc w:val="center"/>
        <w:rPr>
          <w:rFonts w:ascii="Times New Roman" w:eastAsia="Times New Roman" w:hAnsi="Times New Roman" w:cs="Times New Roman"/>
          <w:sz w:val="24"/>
          <w:szCs w:val="24"/>
          <w:lang w:eastAsia="ru-RU"/>
        </w:rPr>
      </w:pPr>
      <w:r w:rsidRPr="00BD0A01">
        <w:rPr>
          <w:rFonts w:ascii="Times New Roman" w:eastAsia="Times New Roman" w:hAnsi="Times New Roman" w:cs="Times New Roman"/>
          <w:b/>
          <w:bCs/>
          <w:sz w:val="24"/>
          <w:szCs w:val="24"/>
          <w:lang w:eastAsia="ru-RU"/>
        </w:rPr>
        <w:t>Нормативные источники и методички:</w:t>
      </w:r>
    </w:p>
    <w:p w:rsidR="00BD0A01" w:rsidRPr="00BD0A01" w:rsidRDefault="00BD0A01" w:rsidP="00BD0A01">
      <w:pPr>
        <w:shd w:val="clear" w:color="auto" w:fill="FFFFFF"/>
        <w:spacing w:after="0" w:line="240" w:lineRule="auto"/>
        <w:ind w:left="993" w:hanging="426"/>
        <w:contextualSpacing/>
        <w:jc w:val="both"/>
        <w:rPr>
          <w:rFonts w:ascii="Times New Roman" w:eastAsia="Times New Roman" w:hAnsi="Times New Roman" w:cs="Times New Roman"/>
          <w:sz w:val="24"/>
          <w:szCs w:val="24"/>
          <w:lang w:eastAsia="ru-RU"/>
        </w:rPr>
      </w:pPr>
      <w:r w:rsidRPr="00BD0A01">
        <w:rPr>
          <w:rFonts w:ascii="Times New Roman" w:eastAsia="Times New Roman" w:hAnsi="Times New Roman" w:cs="Times New Roman"/>
          <w:sz w:val="24"/>
          <w:szCs w:val="24"/>
          <w:lang w:eastAsia="ru-RU"/>
        </w:rPr>
        <w:t> </w:t>
      </w:r>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5" w:tgtFrame="_blank" w:history="1">
        <w:r w:rsidRPr="00BD0A01">
          <w:rPr>
            <w:rFonts w:ascii="Times New Roman" w:eastAsia="Times New Roman" w:hAnsi="Times New Roman" w:cs="Times New Roman"/>
            <w:iCs/>
            <w:sz w:val="24"/>
            <w:szCs w:val="24"/>
            <w:lang w:eastAsia="ru-RU"/>
          </w:rPr>
          <w:t>1.Федеральный закон от 25 июля 2002 г. N 114-ФЗ "О противодействии экстремистской деятельности"</w:t>
        </w:r>
      </w:hyperlink>
      <w:r w:rsidRPr="00BD0A01">
        <w:rPr>
          <w:rFonts w:ascii="Times New Roman" w:eastAsia="Times New Roman" w:hAnsi="Times New Roman" w:cs="Times New Roman"/>
          <w:iCs/>
          <w:sz w:val="24"/>
          <w:szCs w:val="24"/>
          <w:lang w:eastAsia="ru-RU"/>
        </w:rPr>
        <w:t>;</w:t>
      </w:r>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6" w:history="1">
        <w:r w:rsidRPr="00BD0A01">
          <w:rPr>
            <w:rFonts w:ascii="Times New Roman" w:eastAsia="Times New Roman" w:hAnsi="Times New Roman" w:cs="Times New Roman"/>
            <w:iCs/>
            <w:sz w:val="24"/>
            <w:szCs w:val="24"/>
            <w:lang w:eastAsia="ru-RU"/>
          </w:rPr>
          <w:t>2.Федеральный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7" w:tgtFrame="_blank" w:history="1">
        <w:r w:rsidRPr="00BD0A01">
          <w:rPr>
            <w:rFonts w:ascii="Times New Roman" w:eastAsia="Times New Roman" w:hAnsi="Times New Roman" w:cs="Times New Roman"/>
            <w:iCs/>
            <w:sz w:val="24"/>
            <w:szCs w:val="24"/>
            <w:lang w:eastAsia="ru-RU"/>
          </w:rPr>
          <w:t>3.Указ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8" w:tgtFrame="_blank" w:history="1">
        <w:r w:rsidRPr="00BD0A01">
          <w:rPr>
            <w:rFonts w:ascii="Times New Roman" w:eastAsia="Times New Roman" w:hAnsi="Times New Roman" w:cs="Times New Roman"/>
            <w:iCs/>
            <w:sz w:val="24"/>
            <w:szCs w:val="24"/>
            <w:lang w:eastAsia="ru-RU"/>
          </w:rPr>
          <w:t>4.</w:t>
        </w:r>
        <w:proofErr w:type="gramStart"/>
        <w:r w:rsidRPr="00BD0A01">
          <w:rPr>
            <w:rFonts w:ascii="Times New Roman" w:eastAsia="Times New Roman" w:hAnsi="Times New Roman" w:cs="Times New Roman"/>
            <w:iCs/>
            <w:sz w:val="24"/>
            <w:szCs w:val="24"/>
            <w:lang w:eastAsia="ru-RU"/>
          </w:rPr>
          <w:t>С</w:t>
        </w:r>
      </w:hyperlink>
      <w:hyperlink r:id="rId9" w:tgtFrame="_blank" w:history="1">
        <w:r w:rsidRPr="00BD0A01">
          <w:rPr>
            <w:rFonts w:ascii="Times New Roman" w:eastAsia="Times New Roman" w:hAnsi="Times New Roman" w:cs="Times New Roman"/>
            <w:iCs/>
            <w:sz w:val="24"/>
            <w:szCs w:val="24"/>
            <w:lang w:eastAsia="ru-RU"/>
          </w:rPr>
          <w:t>тратегия</w:t>
        </w:r>
        <w:proofErr w:type="gramEnd"/>
        <w:r w:rsidRPr="00BD0A01">
          <w:rPr>
            <w:rFonts w:ascii="Times New Roman" w:eastAsia="Times New Roman" w:hAnsi="Times New Roman" w:cs="Times New Roman"/>
            <w:iCs/>
            <w:sz w:val="24"/>
            <w:szCs w:val="24"/>
            <w:lang w:eastAsia="ru-RU"/>
          </w:rPr>
          <w:t xml:space="preserve"> противодействия экстремизму в Российской Федерации до 2025 года</w:t>
        </w:r>
      </w:hyperlink>
      <w:r w:rsidRPr="00BD0A01">
        <w:rPr>
          <w:rFonts w:ascii="Times New Roman" w:eastAsia="Times New Roman" w:hAnsi="Times New Roman" w:cs="Times New Roman"/>
          <w:iCs/>
          <w:sz w:val="24"/>
          <w:szCs w:val="24"/>
          <w:lang w:eastAsia="ru-RU"/>
        </w:rPr>
        <w:t>;</w:t>
      </w:r>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10" w:tgtFrame="_blank" w:history="1">
        <w:r w:rsidRPr="00BD0A01">
          <w:rPr>
            <w:rFonts w:ascii="Times New Roman" w:eastAsia="Times New Roman" w:hAnsi="Times New Roman" w:cs="Times New Roman"/>
            <w:iCs/>
            <w:sz w:val="24"/>
            <w:szCs w:val="24"/>
            <w:lang w:eastAsia="ru-RU"/>
          </w:rPr>
          <w:t>​5.М</w:t>
        </w:r>
        <w:r w:rsidRPr="00BD0A01">
          <w:rPr>
            <w:rFonts w:ascii="Times New Roman" w:eastAsia="Times New Roman" w:hAnsi="Times New Roman" w:cs="Times New Roman"/>
            <w:iCs/>
            <w:sz w:val="24"/>
            <w:szCs w:val="24"/>
            <w:lang w:eastAsia="ru-RU"/>
          </w:rPr>
          <w:t>е</w:t>
        </w:r>
        <w:r w:rsidRPr="00BD0A01">
          <w:rPr>
            <w:rFonts w:ascii="Times New Roman" w:eastAsia="Times New Roman" w:hAnsi="Times New Roman" w:cs="Times New Roman"/>
            <w:iCs/>
            <w:sz w:val="24"/>
            <w:szCs w:val="24"/>
            <w:lang w:eastAsia="ru-RU"/>
          </w:rPr>
          <w:t>тодические рекомендации по профилактике и противодействию экстремизму в ​молодежной среде</w:t>
        </w:r>
      </w:hyperlink>
      <w:r>
        <w:rPr>
          <w:rFonts w:ascii="Times New Roman" w:eastAsia="Times New Roman" w:hAnsi="Times New Roman" w:cs="Times New Roman"/>
          <w:iCs/>
          <w:sz w:val="24"/>
          <w:szCs w:val="24"/>
          <w:lang w:eastAsia="ru-RU"/>
        </w:rPr>
        <w:t>;</w:t>
      </w:r>
    </w:p>
    <w:p w:rsidR="00BD0A01" w:rsidRPr="00BD0A01" w:rsidRDefault="00BD0A01" w:rsidP="00BD0A01">
      <w:pPr>
        <w:shd w:val="clear" w:color="auto" w:fill="FFFFFF"/>
        <w:spacing w:after="0" w:line="240" w:lineRule="auto"/>
        <w:ind w:firstLine="709"/>
        <w:contextualSpacing/>
        <w:jc w:val="both"/>
        <w:outlineLvl w:val="3"/>
        <w:rPr>
          <w:rFonts w:ascii="Times New Roman" w:eastAsia="Times New Roman" w:hAnsi="Times New Roman" w:cs="Times New Roman"/>
          <w:iCs/>
          <w:sz w:val="24"/>
          <w:szCs w:val="24"/>
          <w:lang w:eastAsia="ru-RU"/>
        </w:rPr>
      </w:pPr>
      <w:hyperlink r:id="rId11" w:history="1">
        <w:r w:rsidRPr="00BD0A01">
          <w:rPr>
            <w:rFonts w:ascii="Times New Roman" w:eastAsia="Times New Roman" w:hAnsi="Times New Roman" w:cs="Times New Roman"/>
            <w:iCs/>
            <w:sz w:val="24"/>
            <w:szCs w:val="24"/>
            <w:lang w:eastAsia="ru-RU"/>
          </w:rPr>
          <w:t>8.Памятка Противодейств</w:t>
        </w:r>
        <w:r>
          <w:rPr>
            <w:rFonts w:ascii="Times New Roman" w:eastAsia="Times New Roman" w:hAnsi="Times New Roman" w:cs="Times New Roman"/>
            <w:iCs/>
            <w:sz w:val="24"/>
            <w:szCs w:val="24"/>
            <w:lang w:eastAsia="ru-RU"/>
          </w:rPr>
          <w:t>и</w:t>
        </w:r>
        <w:r w:rsidRPr="00BD0A01">
          <w:rPr>
            <w:rFonts w:ascii="Times New Roman" w:eastAsia="Times New Roman" w:hAnsi="Times New Roman" w:cs="Times New Roman"/>
            <w:iCs/>
            <w:sz w:val="24"/>
            <w:szCs w:val="24"/>
            <w:lang w:eastAsia="ru-RU"/>
          </w:rPr>
          <w:t>я терроризму</w:t>
        </w:r>
      </w:hyperlink>
      <w:r w:rsidRPr="00BD0A01">
        <w:rPr>
          <w:rFonts w:ascii="Times New Roman" w:eastAsia="Times New Roman" w:hAnsi="Times New Roman" w:cs="Times New Roman"/>
          <w:iCs/>
          <w:sz w:val="24"/>
          <w:szCs w:val="24"/>
          <w:lang w:eastAsia="ru-RU"/>
        </w:rPr>
        <w:t>.</w:t>
      </w:r>
    </w:p>
    <w:p w:rsidR="003A29C2" w:rsidRPr="00BD0A01" w:rsidRDefault="003A29C2" w:rsidP="00BD0A01">
      <w:pPr>
        <w:spacing w:after="0" w:line="240" w:lineRule="auto"/>
        <w:contextualSpacing/>
        <w:rPr>
          <w:rFonts w:ascii="Times New Roman" w:hAnsi="Times New Roman" w:cs="Times New Roman"/>
          <w:sz w:val="24"/>
          <w:szCs w:val="24"/>
        </w:rPr>
      </w:pPr>
    </w:p>
    <w:sectPr w:rsidR="003A29C2" w:rsidRPr="00BD0A01" w:rsidSect="003A2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5A5D"/>
    <w:multiLevelType w:val="hybridMultilevel"/>
    <w:tmpl w:val="F9E42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8040EC"/>
    <w:multiLevelType w:val="hybridMultilevel"/>
    <w:tmpl w:val="DDCED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D0A01"/>
    <w:rsid w:val="003A29C2"/>
    <w:rsid w:val="00BD0A01"/>
    <w:rsid w:val="00D4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C2"/>
  </w:style>
  <w:style w:type="paragraph" w:styleId="4">
    <w:name w:val="heading 4"/>
    <w:basedOn w:val="a"/>
    <w:link w:val="40"/>
    <w:uiPriority w:val="9"/>
    <w:qFormat/>
    <w:rsid w:val="00BD0A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A01"/>
    <w:rPr>
      <w:b/>
      <w:bCs/>
    </w:rPr>
  </w:style>
  <w:style w:type="character" w:customStyle="1" w:styleId="ms-rtefontsize-3">
    <w:name w:val="ms-rtefontsize-3"/>
    <w:basedOn w:val="a0"/>
    <w:rsid w:val="00BD0A01"/>
  </w:style>
  <w:style w:type="paragraph" w:styleId="a4">
    <w:name w:val="Normal (Web)"/>
    <w:basedOn w:val="a"/>
    <w:uiPriority w:val="99"/>
    <w:unhideWhenUsed/>
    <w:rsid w:val="00BD0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0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D0A01"/>
    <w:rPr>
      <w:rFonts w:ascii="Times New Roman" w:eastAsia="Times New Roman" w:hAnsi="Times New Roman" w:cs="Times New Roman"/>
      <w:b/>
      <w:bCs/>
      <w:sz w:val="24"/>
      <w:szCs w:val="24"/>
      <w:lang w:eastAsia="ru-RU"/>
    </w:rPr>
  </w:style>
  <w:style w:type="paragraph" w:customStyle="1" w:styleId="1">
    <w:name w:val="1"/>
    <w:basedOn w:val="a"/>
    <w:rsid w:val="00BD0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D0A01"/>
    <w:rPr>
      <w:color w:val="0000FF"/>
      <w:u w:val="single"/>
    </w:rPr>
  </w:style>
</w:styles>
</file>

<file path=word/webSettings.xml><?xml version="1.0" encoding="utf-8"?>
<w:webSettings xmlns:r="http://schemas.openxmlformats.org/officeDocument/2006/relationships" xmlns:w="http://schemas.openxmlformats.org/wordprocessingml/2006/main">
  <w:divs>
    <w:div w:id="1359621282">
      <w:bodyDiv w:val="1"/>
      <w:marLeft w:val="0"/>
      <w:marRight w:val="0"/>
      <w:marTop w:val="0"/>
      <w:marBottom w:val="0"/>
      <w:divBdr>
        <w:top w:val="none" w:sz="0" w:space="0" w:color="auto"/>
        <w:left w:val="none" w:sz="0" w:space="0" w:color="auto"/>
        <w:bottom w:val="none" w:sz="0" w:space="0" w:color="auto"/>
        <w:right w:val="none" w:sz="0" w:space="0" w:color="auto"/>
      </w:divBdr>
      <w:divsChild>
        <w:div w:id="872960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6612251">
      <w:bodyDiv w:val="1"/>
      <w:marLeft w:val="0"/>
      <w:marRight w:val="0"/>
      <w:marTop w:val="0"/>
      <w:marBottom w:val="0"/>
      <w:divBdr>
        <w:top w:val="none" w:sz="0" w:space="0" w:color="auto"/>
        <w:left w:val="none" w:sz="0" w:space="0" w:color="auto"/>
        <w:bottom w:val="none" w:sz="0" w:space="0" w:color="auto"/>
        <w:right w:val="none" w:sz="0" w:space="0" w:color="auto"/>
      </w:divBdr>
    </w:div>
    <w:div w:id="21374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143.edusite.ru/DswMedia/strategiyaprotivodeystviyayekstremizmuvrossiyskoyfederaciido2025god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143.edusite.ru/DswMedia/ukazprezidentarfomeraxpoobespecheniyusoglasovannyixdeystviyorganovgosudarstvennoyvlastivbor-besproyavleniyamifashizmaiinyixformpoliticheskogoyekstremizmavr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143.edusite.ru/DswMedia/federal-nyiyzakonot24072007n211-fzovneseniiizmeneniyvotdel-nyiezakonodatel-nyieaktyi.pdf" TargetMode="External"/><Relationship Id="rId11" Type="http://schemas.openxmlformats.org/officeDocument/2006/relationships/hyperlink" Target="http://mari-el.gov.ru/minsport/SiteAssets/Pages/%D0%9F%D1%80%D0%BE%D1%82%D0%B8%D0%B2%D0%BE%D0%B4%D0%B5%D0%B9%D1%81%D1%82%D0%B2%D0%B8%D0%B5-%D1%82%D0%B5%D1%80%D1%80%D0%BE%D1%80%D0%B8%D0%B7%D0%BC%D1%83/%D0%9F%D0%B0%D0%BC%D1%8F%D1%82%D0%BA%D0%B0_%D0%9F%D1%80%D0%BE%D1%82%D0%B8%D0%B2%D0%BE%D0%B4%D0%B5%D0%B9%D1%81%D1%82%D0%B2%D0%B8%D0%B5%20%D1%82%D0%B5%D1%80%D1%80%D0%BE%D1%80%D1%83.pdf" TargetMode="External"/><Relationship Id="rId5" Type="http://schemas.openxmlformats.org/officeDocument/2006/relationships/hyperlink" Target="https://school143.edusite.ru/DswMedia/federal-nyiyzakonot25iyulya2002gn114-fz.pdf" TargetMode="External"/><Relationship Id="rId10" Type="http://schemas.openxmlformats.org/officeDocument/2006/relationships/hyperlink" Target="https://school143.edusite.ru/DswMedia/metodicheskierekomendacii.pdf" TargetMode="External"/><Relationship Id="rId4" Type="http://schemas.openxmlformats.org/officeDocument/2006/relationships/webSettings" Target="webSettings.xml"/><Relationship Id="rId9" Type="http://schemas.openxmlformats.org/officeDocument/2006/relationships/hyperlink" Target="https://school143.edusite.ru/DswMedia/strategiyaprotivodeystviyayekstremizmuvrossiyskoyfederaciido2025god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pivovarovagn</dc:creator>
  <cp:lastModifiedBy>pivovarovagn</cp:lastModifiedBy>
  <cp:revision>1</cp:revision>
  <dcterms:created xsi:type="dcterms:W3CDTF">2021-05-27T12:54:00Z</dcterms:created>
  <dcterms:modified xsi:type="dcterms:W3CDTF">2021-05-27T13:27:00Z</dcterms:modified>
</cp:coreProperties>
</file>